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CB" w:rsidRPr="004A7B09" w:rsidRDefault="00020BCB" w:rsidP="00DC6C96">
      <w:pPr>
        <w:pStyle w:val="3"/>
        <w:jc w:val="left"/>
        <w:rPr>
          <w:b w:val="0"/>
          <w:color w:val="000000"/>
          <w:sz w:val="16"/>
          <w:szCs w:val="16"/>
        </w:rPr>
      </w:pPr>
      <w:bookmarkStart w:id="0" w:name="_GoBack"/>
      <w:bookmarkEnd w:id="0"/>
      <w:r>
        <w:rPr>
          <w:color w:val="000000"/>
          <w:lang w:val="uk-UA"/>
        </w:rPr>
        <w:tab/>
      </w:r>
      <w:r>
        <w:rPr>
          <w:color w:val="000000"/>
          <w:lang w:val="uk-UA"/>
        </w:rPr>
        <w:tab/>
      </w:r>
      <w:r>
        <w:rPr>
          <w:color w:val="000000"/>
          <w:lang w:val="uk-UA"/>
        </w:rPr>
        <w:tab/>
      </w:r>
      <w:r w:rsidR="00DC6C96" w:rsidRPr="004A7B09">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4A7B09">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AD68ED" w:rsidP="00DC6C96">
      <w:pPr>
        <w:pStyle w:val="3"/>
        <w:jc w:val="left"/>
        <w:rPr>
          <w:b w:val="0"/>
          <w:sz w:val="15"/>
          <w:lang w:val="uk-UA"/>
        </w:rPr>
      </w:pPr>
      <w:r w:rsidRPr="004A7B09">
        <w:rPr>
          <w:b w:val="0"/>
          <w:sz w:val="20"/>
          <w:szCs w:val="20"/>
          <w:u w:val="single"/>
        </w:rPr>
        <w:t>30.04.2021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4A7B09" w:rsidRDefault="007E37D1" w:rsidP="00DC6C96">
      <w:pPr>
        <w:pStyle w:val="3"/>
        <w:jc w:val="left"/>
        <w:rPr>
          <w:b w:val="0"/>
          <w:sz w:val="20"/>
          <w:szCs w:val="20"/>
        </w:rPr>
      </w:pPr>
      <w:r w:rsidRPr="007E37D1">
        <w:rPr>
          <w:b w:val="0"/>
          <w:sz w:val="20"/>
          <w:szCs w:val="20"/>
          <w:lang w:val="uk-UA"/>
        </w:rPr>
        <w:t>№</w:t>
      </w:r>
      <w:r w:rsidRPr="004A7B09">
        <w:rPr>
          <w:b w:val="0"/>
          <w:sz w:val="20"/>
          <w:szCs w:val="20"/>
        </w:rPr>
        <w:t xml:space="preserve"> </w:t>
      </w:r>
      <w:r w:rsidR="00AD68ED" w:rsidRPr="004A7B09">
        <w:rPr>
          <w:b w:val="0"/>
          <w:sz w:val="20"/>
          <w:szCs w:val="20"/>
          <w:u w:val="single"/>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4A7B09">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AD68ED" w:rsidP="00DC6C96">
            <w:pPr>
              <w:jc w:val="center"/>
              <w:rPr>
                <w:color w:val="000000"/>
                <w:sz w:val="20"/>
                <w:szCs w:val="20"/>
                <w:lang w:val="en-US"/>
              </w:rPr>
            </w:pPr>
            <w:r>
              <w:rPr>
                <w:color w:val="000000"/>
                <w:sz w:val="20"/>
                <w:szCs w:val="20"/>
                <w:lang w:val="en-US"/>
              </w:rPr>
              <w:t>Голова правлiння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AD68ED" w:rsidP="00DC6C96">
            <w:pPr>
              <w:ind w:left="1280" w:hanging="591"/>
              <w:jc w:val="center"/>
              <w:rPr>
                <w:color w:val="000000"/>
                <w:sz w:val="20"/>
                <w:szCs w:val="20"/>
                <w:lang w:val="en-US"/>
              </w:rPr>
            </w:pPr>
            <w:r>
              <w:rPr>
                <w:color w:val="000000"/>
                <w:sz w:val="20"/>
                <w:szCs w:val="20"/>
                <w:lang w:val="en-US"/>
              </w:rPr>
              <w:t>Ковальчук В. 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4A7B09">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4A7B09" w:rsidRDefault="00AD68ED" w:rsidP="00DC6C96">
            <w:pPr>
              <w:rPr>
                <w:sz w:val="20"/>
                <w:szCs w:val="20"/>
              </w:rPr>
            </w:pPr>
            <w:r w:rsidRPr="004A7B09">
              <w:rPr>
                <w:sz w:val="20"/>
                <w:szCs w:val="20"/>
              </w:rPr>
              <w:t>АКЦІОНЕРНЕ ТОВАРИСТВО "ЗАПОРІЗЬКИЙ ЗАВОД ЗАЛІЗОБЕТОННИХ ШПАЛ"</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AD68ED"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4A7B09" w:rsidRDefault="00AD68ED" w:rsidP="00DF42E6">
            <w:pPr>
              <w:rPr>
                <w:sz w:val="20"/>
                <w:szCs w:val="20"/>
              </w:rPr>
            </w:pPr>
            <w:r>
              <w:rPr>
                <w:sz w:val="20"/>
                <w:szCs w:val="20"/>
                <w:lang w:val="uk-UA"/>
              </w:rPr>
              <w:t>69600 місто Запоріжжя вулиця Миколи Краснова, будинок 10-А</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AD68ED" w:rsidP="00DC6C96">
            <w:pPr>
              <w:rPr>
                <w:sz w:val="20"/>
                <w:szCs w:val="20"/>
                <w:lang w:val="en-US"/>
              </w:rPr>
            </w:pPr>
            <w:r>
              <w:rPr>
                <w:sz w:val="20"/>
                <w:szCs w:val="20"/>
                <w:lang w:val="en-US"/>
              </w:rPr>
              <w:t>32407952</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AD68ED" w:rsidP="00DC6C96">
            <w:pPr>
              <w:rPr>
                <w:sz w:val="20"/>
                <w:szCs w:val="20"/>
                <w:lang w:val="en-US"/>
              </w:rPr>
            </w:pPr>
            <w:r>
              <w:rPr>
                <w:sz w:val="20"/>
                <w:szCs w:val="20"/>
                <w:lang w:val="en-US"/>
              </w:rPr>
              <w:t>(061) 228-04-07</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4A7B09" w:rsidRDefault="00AD68ED" w:rsidP="00DC6C96">
            <w:pPr>
              <w:rPr>
                <w:sz w:val="20"/>
                <w:szCs w:val="20"/>
              </w:rPr>
            </w:pPr>
            <w:r>
              <w:rPr>
                <w:sz w:val="20"/>
                <w:szCs w:val="20"/>
                <w:lang w:val="en-US"/>
              </w:rPr>
              <w:t>svetlana</w:t>
            </w:r>
            <w:r w:rsidRPr="004A7B09">
              <w:rPr>
                <w:sz w:val="20"/>
                <w:szCs w:val="20"/>
              </w:rPr>
              <w:t>@</w:t>
            </w:r>
            <w:r>
              <w:rPr>
                <w:sz w:val="20"/>
                <w:szCs w:val="20"/>
                <w:lang w:val="en-US"/>
              </w:rPr>
              <w:t>king</w:t>
            </w:r>
            <w:r w:rsidRPr="004A7B09">
              <w:rPr>
                <w:sz w:val="20"/>
                <w:szCs w:val="20"/>
              </w:rPr>
              <w:t>.</w:t>
            </w:r>
            <w:r>
              <w:rPr>
                <w:sz w:val="20"/>
                <w:szCs w:val="20"/>
                <w:lang w:val="en-US"/>
              </w:rPr>
              <w:t>dp</w:t>
            </w:r>
            <w:r w:rsidRPr="004A7B09">
              <w:rPr>
                <w:sz w:val="20"/>
                <w:szCs w:val="20"/>
              </w:rPr>
              <w:t>.</w:t>
            </w:r>
            <w:r>
              <w:rPr>
                <w:sz w:val="20"/>
                <w:szCs w:val="20"/>
                <w:lang w:val="en-US"/>
              </w:rPr>
              <w:t>ua</w:t>
            </w:r>
            <w:r w:rsidRPr="004A7B09">
              <w:rPr>
                <w:sz w:val="20"/>
                <w:szCs w:val="20"/>
              </w:rPr>
              <w:t xml:space="preserve"> , </w:t>
            </w:r>
            <w:r>
              <w:rPr>
                <w:sz w:val="20"/>
                <w:szCs w:val="20"/>
                <w:lang w:val="en-US"/>
              </w:rPr>
              <w:t>info</w:t>
            </w:r>
            <w:r w:rsidRPr="004A7B09">
              <w:rPr>
                <w:sz w:val="20"/>
                <w:szCs w:val="20"/>
              </w:rPr>
              <w:t>@</w:t>
            </w:r>
            <w:r>
              <w:rPr>
                <w:sz w:val="20"/>
                <w:szCs w:val="20"/>
                <w:lang w:val="en-US"/>
              </w:rPr>
              <w:t>zzzh</w:t>
            </w:r>
            <w:r w:rsidRPr="004A7B09">
              <w:rPr>
                <w:sz w:val="20"/>
                <w:szCs w:val="20"/>
              </w:rPr>
              <w:t>.</w:t>
            </w:r>
            <w:r>
              <w:rPr>
                <w:sz w:val="20"/>
                <w:szCs w:val="20"/>
                <w:lang w:val="en-US"/>
              </w:rPr>
              <w:t>pat</w:t>
            </w:r>
            <w:r w:rsidRPr="004A7B09">
              <w:rPr>
                <w:sz w:val="20"/>
                <w:szCs w:val="20"/>
              </w:rPr>
              <w:t>.</w:t>
            </w:r>
            <w:r>
              <w:rPr>
                <w:sz w:val="20"/>
                <w:szCs w:val="20"/>
                <w:lang w:val="en-US"/>
              </w:rPr>
              <w: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531337" w:rsidRPr="004A7B09" w:rsidRDefault="00AD68ED" w:rsidP="00DC6C96">
            <w:pPr>
              <w:rPr>
                <w:sz w:val="20"/>
                <w:szCs w:val="20"/>
              </w:rPr>
            </w:pPr>
            <w:r w:rsidRPr="004A7B09">
              <w:rPr>
                <w:sz w:val="20"/>
                <w:szCs w:val="20"/>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AD68ED" w:rsidRPr="004A7B09" w:rsidRDefault="00AD68ED" w:rsidP="00DC6C96">
            <w:pPr>
              <w:rPr>
                <w:sz w:val="20"/>
                <w:szCs w:val="20"/>
              </w:rPr>
            </w:pPr>
            <w:r w:rsidRPr="004A7B09">
              <w:rPr>
                <w:sz w:val="20"/>
                <w:szCs w:val="20"/>
              </w:rPr>
              <w:t>Державна установа "Агентство з розвитку інфраструктури фондового ринку України"</w:t>
            </w:r>
          </w:p>
          <w:p w:rsidR="00AD68ED" w:rsidRDefault="00AD68ED" w:rsidP="00DC6C96">
            <w:pPr>
              <w:rPr>
                <w:sz w:val="20"/>
                <w:szCs w:val="20"/>
                <w:lang w:val="en-US"/>
              </w:rPr>
            </w:pPr>
            <w:r>
              <w:rPr>
                <w:sz w:val="20"/>
                <w:szCs w:val="20"/>
                <w:lang w:val="en-US"/>
              </w:rPr>
              <w:t>21676262</w:t>
            </w:r>
          </w:p>
          <w:p w:rsidR="00AD68ED" w:rsidRDefault="00AD68ED" w:rsidP="00DC6C96">
            <w:pPr>
              <w:rPr>
                <w:sz w:val="20"/>
                <w:szCs w:val="20"/>
                <w:lang w:val="en-US"/>
              </w:rPr>
            </w:pPr>
            <w:r>
              <w:rPr>
                <w:sz w:val="20"/>
                <w:szCs w:val="20"/>
                <w:lang w:val="en-US"/>
              </w:rPr>
              <w:t>Україна</w:t>
            </w:r>
          </w:p>
          <w:p w:rsidR="00C86AFD" w:rsidRPr="00C86AFD" w:rsidRDefault="00AD68ED"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AD68ED" w:rsidP="00DC6C96">
            <w:pPr>
              <w:jc w:val="center"/>
              <w:rPr>
                <w:b/>
                <w:sz w:val="20"/>
                <w:szCs w:val="20"/>
              </w:rPr>
            </w:pPr>
            <w:r>
              <w:rPr>
                <w:sz w:val="20"/>
                <w:szCs w:val="20"/>
                <w:lang w:val="en-US"/>
              </w:rPr>
              <w:t>http</w:t>
            </w:r>
            <w:r w:rsidRPr="004A7B09">
              <w:rPr>
                <w:sz w:val="20"/>
                <w:szCs w:val="20"/>
              </w:rPr>
              <w:t>://</w:t>
            </w:r>
            <w:r>
              <w:rPr>
                <w:sz w:val="20"/>
                <w:szCs w:val="20"/>
                <w:lang w:val="en-US"/>
              </w:rPr>
              <w:t>zzzh</w:t>
            </w:r>
            <w:r w:rsidRPr="004A7B09">
              <w:rPr>
                <w:sz w:val="20"/>
                <w:szCs w:val="20"/>
              </w:rPr>
              <w:t>.</w:t>
            </w:r>
            <w:r>
              <w:rPr>
                <w:sz w:val="20"/>
                <w:szCs w:val="20"/>
                <w:lang w:val="en-US"/>
              </w:rPr>
              <w:t>pat</w:t>
            </w:r>
            <w:r w:rsidRPr="004A7B09">
              <w:rPr>
                <w:sz w:val="20"/>
                <w:szCs w:val="20"/>
              </w:rPr>
              <w:t>.</w:t>
            </w:r>
            <w:r>
              <w:rPr>
                <w:sz w:val="20"/>
                <w:szCs w:val="20"/>
                <w:lang w:val="en-US"/>
              </w:rPr>
              <w:t>ua</w:t>
            </w:r>
            <w:r w:rsidRPr="004A7B09">
              <w:rPr>
                <w:sz w:val="20"/>
                <w:szCs w:val="20"/>
              </w:rPr>
              <w:t xml:space="preserve"> , </w:t>
            </w:r>
            <w:r>
              <w:rPr>
                <w:sz w:val="20"/>
                <w:szCs w:val="20"/>
                <w:lang w:val="en-US"/>
              </w:rPr>
              <w:t>http</w:t>
            </w:r>
            <w:r w:rsidRPr="004A7B09">
              <w:rPr>
                <w:sz w:val="20"/>
                <w:szCs w:val="20"/>
              </w:rPr>
              <w:t>://</w:t>
            </w:r>
            <w:r>
              <w:rPr>
                <w:sz w:val="20"/>
                <w:szCs w:val="20"/>
                <w:lang w:val="en-US"/>
              </w:rPr>
              <w:t>zzzh</w:t>
            </w:r>
            <w:r w:rsidRPr="004A7B09">
              <w:rPr>
                <w:sz w:val="20"/>
                <w:szCs w:val="20"/>
              </w:rPr>
              <w:t>.</w:t>
            </w:r>
            <w:r>
              <w:rPr>
                <w:sz w:val="20"/>
                <w:szCs w:val="20"/>
                <w:lang w:val="en-US"/>
              </w:rPr>
              <w:t>pat</w:t>
            </w:r>
            <w:r w:rsidRPr="004A7B09">
              <w:rPr>
                <w:sz w:val="20"/>
                <w:szCs w:val="20"/>
              </w:rPr>
              <w:t>.</w:t>
            </w:r>
            <w:r>
              <w:rPr>
                <w:sz w:val="20"/>
                <w:szCs w:val="20"/>
                <w:lang w:val="en-US"/>
              </w:rPr>
              <w:t>ua</w:t>
            </w:r>
            <w:r w:rsidRPr="004A7B09">
              <w:rPr>
                <w:sz w:val="20"/>
                <w:szCs w:val="20"/>
              </w:rPr>
              <w:t>/</w:t>
            </w:r>
            <w:r>
              <w:rPr>
                <w:sz w:val="20"/>
                <w:szCs w:val="20"/>
                <w:lang w:val="en-US"/>
              </w:rPr>
              <w:t>emitents</w:t>
            </w:r>
            <w:r w:rsidRPr="004A7B09">
              <w:rPr>
                <w:sz w:val="20"/>
                <w:szCs w:val="20"/>
              </w:rPr>
              <w:t>/</w:t>
            </w:r>
            <w:r>
              <w:rPr>
                <w:sz w:val="20"/>
                <w:szCs w:val="20"/>
                <w:lang w:val="en-US"/>
              </w:rPr>
              <w:t>reports</w:t>
            </w:r>
            <w:r w:rsidRPr="004A7B09">
              <w:rPr>
                <w:sz w:val="20"/>
                <w:szCs w:val="20"/>
              </w:rPr>
              <w:t>/</w:t>
            </w:r>
            <w:r>
              <w:rPr>
                <w:sz w:val="20"/>
                <w:szCs w:val="20"/>
                <w:lang w:val="en-US"/>
              </w:rPr>
              <w:t>special</w:t>
            </w:r>
          </w:p>
        </w:tc>
        <w:tc>
          <w:tcPr>
            <w:tcW w:w="1501" w:type="dxa"/>
            <w:tcMar>
              <w:top w:w="60" w:type="dxa"/>
              <w:left w:w="60" w:type="dxa"/>
              <w:bottom w:w="60" w:type="dxa"/>
              <w:right w:w="60" w:type="dxa"/>
            </w:tcMar>
            <w:vAlign w:val="center"/>
          </w:tcPr>
          <w:p w:rsidR="001714DF" w:rsidRPr="00DF42E6" w:rsidRDefault="00AD68ED" w:rsidP="00DC6C96">
            <w:pPr>
              <w:jc w:val="center"/>
              <w:rPr>
                <w:sz w:val="20"/>
                <w:szCs w:val="20"/>
                <w:lang w:val="en-US"/>
              </w:rPr>
            </w:pPr>
            <w:r>
              <w:rPr>
                <w:sz w:val="20"/>
                <w:szCs w:val="20"/>
                <w:lang w:val="en-US"/>
              </w:rPr>
              <w:t>30.04.2021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0C7DFA" w:rsidRDefault="000C7DFA" w:rsidP="00C86AFD">
      <w:pPr>
        <w:rPr>
          <w:lang w:val="en-US"/>
        </w:rPr>
        <w:sectPr w:rsidR="000C7DFA" w:rsidSect="00AD68ED">
          <w:pgSz w:w="11906" w:h="16838"/>
          <w:pgMar w:top="363" w:right="567" w:bottom="363" w:left="1417" w:header="708" w:footer="708" w:gutter="0"/>
          <w:cols w:space="708"/>
          <w:docGrid w:linePitch="360"/>
        </w:sectPr>
      </w:pPr>
    </w:p>
    <w:p w:rsidR="000C7DFA" w:rsidRDefault="000C7DFA" w:rsidP="000C7DFA">
      <w:pPr>
        <w:pStyle w:val="a4"/>
        <w:spacing w:before="0" w:beforeAutospacing="0" w:after="0" w:afterAutospacing="0"/>
        <w:ind w:left="3540"/>
        <w:rPr>
          <w:sz w:val="20"/>
          <w:szCs w:val="20"/>
        </w:rPr>
      </w:pPr>
      <w:r>
        <w:rPr>
          <w:sz w:val="20"/>
          <w:szCs w:val="20"/>
        </w:rPr>
        <w:lastRenderedPageBreak/>
        <w:t xml:space="preserve">                                </w:t>
      </w:r>
      <w:r w:rsidRPr="0090056A">
        <w:rPr>
          <w:sz w:val="20"/>
          <w:szCs w:val="20"/>
        </w:rPr>
        <w:t>Додаток 5</w:t>
      </w:r>
      <w:r w:rsidRPr="0090056A">
        <w:rPr>
          <w:sz w:val="20"/>
          <w:szCs w:val="20"/>
        </w:rPr>
        <w:br/>
      </w:r>
      <w:r>
        <w:rPr>
          <w:sz w:val="20"/>
          <w:szCs w:val="20"/>
        </w:rPr>
        <w:t xml:space="preserve">                                 </w:t>
      </w:r>
      <w:r w:rsidRPr="0090056A">
        <w:rPr>
          <w:sz w:val="20"/>
          <w:szCs w:val="20"/>
        </w:rPr>
        <w:t xml:space="preserve">до Положення про розкриття інформації емітентами </w:t>
      </w:r>
    </w:p>
    <w:p w:rsidR="000C7DFA" w:rsidRPr="0090056A" w:rsidRDefault="000C7DFA" w:rsidP="000C7DFA">
      <w:pPr>
        <w:pStyle w:val="a4"/>
        <w:spacing w:before="0" w:beforeAutospacing="0" w:after="0" w:afterAutospacing="0"/>
        <w:ind w:left="3540"/>
        <w:rPr>
          <w:sz w:val="20"/>
          <w:szCs w:val="20"/>
        </w:rPr>
      </w:pPr>
      <w:r>
        <w:rPr>
          <w:sz w:val="20"/>
          <w:szCs w:val="20"/>
        </w:rPr>
        <w:t xml:space="preserve">                                 ц</w:t>
      </w:r>
      <w:r w:rsidRPr="0090056A">
        <w:rPr>
          <w:sz w:val="20"/>
          <w:szCs w:val="20"/>
        </w:rPr>
        <w:t>інних</w:t>
      </w:r>
      <w:r>
        <w:rPr>
          <w:sz w:val="20"/>
          <w:szCs w:val="20"/>
        </w:rPr>
        <w:t xml:space="preserve"> п</w:t>
      </w:r>
      <w:r w:rsidRPr="0090056A">
        <w:rPr>
          <w:sz w:val="20"/>
          <w:szCs w:val="20"/>
        </w:rPr>
        <w:t>аперів</w:t>
      </w:r>
      <w:r>
        <w:rPr>
          <w:sz w:val="20"/>
          <w:szCs w:val="20"/>
        </w:rPr>
        <w:t xml:space="preserve"> </w:t>
      </w:r>
      <w:r w:rsidRPr="0090056A">
        <w:rPr>
          <w:sz w:val="20"/>
          <w:szCs w:val="20"/>
        </w:rPr>
        <w:t>(пункт 6 глави 1 розділу III)</w:t>
      </w:r>
    </w:p>
    <w:p w:rsidR="000C7DFA" w:rsidRPr="00171381" w:rsidRDefault="000C7DFA" w:rsidP="000C7DFA">
      <w:pPr>
        <w:pStyle w:val="a4"/>
        <w:jc w:val="center"/>
        <w:rPr>
          <w:b/>
        </w:rPr>
      </w:pPr>
      <w:r w:rsidRPr="00171381">
        <w:rPr>
          <w:b/>
        </w:rPr>
        <w:t>1. Відомості 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1985"/>
        <w:gridCol w:w="1987"/>
        <w:gridCol w:w="1983"/>
        <w:gridCol w:w="2011"/>
      </w:tblGrid>
      <w:tr w:rsidR="000C7DFA" w:rsidRPr="00335999" w:rsidTr="00E008CE">
        <w:trPr>
          <w:trHeight w:val="1214"/>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sidRPr="00335999">
              <w:rPr>
                <w:b/>
                <w:sz w:val="20"/>
                <w:szCs w:val="20"/>
              </w:rPr>
              <w:t>№ з/п</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sidRPr="00335999">
              <w:rPr>
                <w:b/>
                <w:sz w:val="20"/>
                <w:szCs w:val="20"/>
              </w:rPr>
              <w:t>Дата прийняття рішення</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Pr>
                <w:b/>
                <w:sz w:val="20"/>
                <w:szCs w:val="20"/>
              </w:rPr>
              <w:t>Гранична сукупна варті</w:t>
            </w:r>
            <w:r w:rsidRPr="00335999">
              <w:rPr>
                <w:b/>
                <w:sz w:val="20"/>
                <w:szCs w:val="20"/>
              </w:rPr>
              <w:t>ст</w:t>
            </w:r>
            <w:r>
              <w:rPr>
                <w:b/>
                <w:sz w:val="20"/>
                <w:szCs w:val="20"/>
              </w:rPr>
              <w:t>ь</w:t>
            </w:r>
            <w:r w:rsidRPr="00335999">
              <w:rPr>
                <w:b/>
                <w:sz w:val="20"/>
                <w:szCs w:val="20"/>
              </w:rPr>
              <w:t xml:space="preserve"> правочинів (тис. грн.)</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sidRPr="00335999">
              <w:rPr>
                <w:b/>
                <w:sz w:val="20"/>
                <w:szCs w:val="20"/>
              </w:rPr>
              <w:t>Вартість активів емітента за даними останньої річної фінансової звітності   (тис. грн.)</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sidRPr="00335999">
              <w:rPr>
                <w:b/>
                <w:sz w:val="20"/>
                <w:szCs w:val="20"/>
              </w:rPr>
              <w:t>Співвідношення граничної сукупно</w:t>
            </w:r>
            <w:r>
              <w:rPr>
                <w:b/>
                <w:sz w:val="20"/>
                <w:szCs w:val="20"/>
              </w:rPr>
              <w:t>ї</w:t>
            </w:r>
            <w:r w:rsidRPr="00335999">
              <w:rPr>
                <w:b/>
                <w:sz w:val="20"/>
                <w:szCs w:val="20"/>
              </w:rPr>
              <w:t xml:space="preserve"> вартості правочинів до вартості активів емітента за даними останньої річної фінансової звітності</w:t>
            </w:r>
          </w:p>
          <w:p w:rsidR="000C7DFA" w:rsidRPr="00335999" w:rsidRDefault="000C7DFA" w:rsidP="00E008CE">
            <w:pPr>
              <w:pStyle w:val="a4"/>
              <w:spacing w:before="0" w:beforeAutospacing="0" w:after="0" w:afterAutospacing="0"/>
              <w:jc w:val="center"/>
              <w:rPr>
                <w:b/>
                <w:sz w:val="20"/>
                <w:szCs w:val="20"/>
              </w:rPr>
            </w:pPr>
            <w:r w:rsidRPr="00335999">
              <w:rPr>
                <w:b/>
                <w:sz w:val="20"/>
                <w:szCs w:val="20"/>
              </w:rPr>
              <w:t>(у відсотках)</w:t>
            </w:r>
          </w:p>
        </w:tc>
      </w:tr>
      <w:tr w:rsidR="000C7DFA" w:rsidRPr="00335999" w:rsidTr="00E008CE">
        <w:trPr>
          <w:trHeight w:val="34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sidRPr="00335999">
              <w:rPr>
                <w:b/>
                <w:sz w:val="20"/>
                <w:szCs w:val="20"/>
              </w:rPr>
              <w:t>1</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sidRPr="00335999">
              <w:rPr>
                <w:b/>
                <w:sz w:val="20"/>
                <w:szCs w:val="20"/>
              </w:rPr>
              <w:t>2</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sidRPr="00335999">
              <w:rPr>
                <w:b/>
                <w:sz w:val="20"/>
                <w:szCs w:val="20"/>
              </w:rPr>
              <w:t>3</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sidRPr="00335999">
              <w:rPr>
                <w:b/>
                <w:sz w:val="20"/>
                <w:szCs w:val="20"/>
              </w:rPr>
              <w:t>4</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DFA" w:rsidRPr="00335999" w:rsidRDefault="000C7DFA" w:rsidP="00E008CE">
            <w:pPr>
              <w:pStyle w:val="a4"/>
              <w:spacing w:before="0" w:beforeAutospacing="0" w:after="0" w:afterAutospacing="0"/>
              <w:jc w:val="center"/>
              <w:rPr>
                <w:b/>
                <w:sz w:val="20"/>
                <w:szCs w:val="20"/>
              </w:rPr>
            </w:pPr>
            <w:r w:rsidRPr="00335999">
              <w:rPr>
                <w:b/>
                <w:sz w:val="20"/>
                <w:szCs w:val="20"/>
              </w:rPr>
              <w:t>5</w:t>
            </w:r>
          </w:p>
        </w:tc>
      </w:tr>
      <w:tr w:rsidR="000C7DFA" w:rsidRPr="00F9402C" w:rsidTr="00E008CE">
        <w:trPr>
          <w:trHeight w:val="34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1</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29.04.2021</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80623.500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53749.000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150.00000000000</w:t>
            </w:r>
          </w:p>
        </w:tc>
      </w:tr>
      <w:tr w:rsidR="000C7DFA" w:rsidRPr="00F9402C" w:rsidTr="00E008C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rPr>
                <w:b/>
                <w:sz w:val="20"/>
                <w:szCs w:val="20"/>
              </w:rPr>
            </w:pPr>
            <w:r>
              <w:rPr>
                <w:b/>
                <w:sz w:val="20"/>
                <w:szCs w:val="20"/>
              </w:rPr>
              <w:t>Зміст інформації</w:t>
            </w:r>
          </w:p>
        </w:tc>
      </w:tr>
      <w:tr w:rsidR="000C7DFA" w:rsidRPr="00F9402C" w:rsidTr="00E008C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0C7DFA" w:rsidRDefault="000C7DFA" w:rsidP="00E008CE">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- 29.04.2021 р. Відомості щодо правочинів із зазначенням, зокрема, їх характеру та їх гранична сукупність вартості правочинів: Попередньо надати згоду на вчинення значних правочинів, які можуть вчинятися акціонерним товариством протягом одного року з дати прийняття такого рішення, якщо ринкова вартість майна або послуг, що є предметом таких правочинів, перевищує 25, але менша 50 відсотків вартості активів за даними фінансовій звітності за 2020 рік, з граничною сукупною вартістю кожного такого правочину в розмірі 26874,5 тис. грн., а саме:</w:t>
            </w:r>
          </w:p>
          <w:p w:rsidR="000C7DFA" w:rsidRDefault="000C7DFA" w:rsidP="00E008CE">
            <w:pPr>
              <w:pStyle w:val="a4"/>
              <w:spacing w:before="0" w:beforeAutospacing="0" w:after="0" w:afterAutospacing="0"/>
              <w:rPr>
                <w:sz w:val="20"/>
                <w:szCs w:val="20"/>
              </w:rPr>
            </w:pPr>
            <w:r>
              <w:rPr>
                <w:sz w:val="20"/>
                <w:szCs w:val="20"/>
              </w:rPr>
              <w:t>укладання договорів (контрактів) на придбання металевого дроту, цементу, послуг перевезення продукції з метою забезпечення виробничого процесу акціонерного товариства;</w:t>
            </w:r>
          </w:p>
          <w:p w:rsidR="000C7DFA" w:rsidRDefault="000C7DFA" w:rsidP="00E008CE">
            <w:pPr>
              <w:pStyle w:val="a4"/>
              <w:spacing w:before="0" w:beforeAutospacing="0" w:after="0" w:afterAutospacing="0"/>
              <w:rPr>
                <w:sz w:val="20"/>
                <w:szCs w:val="20"/>
              </w:rPr>
            </w:pPr>
            <w:r>
              <w:rPr>
                <w:sz w:val="20"/>
                <w:szCs w:val="20"/>
              </w:rPr>
              <w:t>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для потреб АТ «УКРЗАЛІЗНИЦЯ», в тому числі філій АТ «УКРЗАЛІЗНИЦЯ», промислових підприємств та інших споживачів, в тому числі за результатами тендерів;</w:t>
            </w:r>
          </w:p>
          <w:p w:rsidR="000C7DFA" w:rsidRPr="00F9402C" w:rsidRDefault="000C7DFA" w:rsidP="00E008CE">
            <w:pPr>
              <w:pStyle w:val="a4"/>
              <w:spacing w:before="0" w:beforeAutospacing="0" w:after="0" w:afterAutospacing="0"/>
              <w:rPr>
                <w:sz w:val="20"/>
                <w:szCs w:val="20"/>
              </w:rPr>
            </w:pPr>
            <w:r>
              <w:rPr>
                <w:sz w:val="20"/>
                <w:szCs w:val="20"/>
              </w:rPr>
              <w:t>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в адресу закордонних споживачів. Надати Голові Правління акціонерного товариства повноваження вчиняти такі правочини самостійно. Гранична сукупність вартості правочинів - 80 623,5 тис. грн. Вартість активів емітента за даними останньої річної фінансової звітності - 53 749 тис. грн. Співвідношення граничної сукупності вартості правочинів до вартості активів емітента за даними останньої річної фінансової звітності - 150%. Загальна кількість голосуючих акцій - 2 690 шт. Кількість голосуючих акцій, що зареєстровані для участі у загальних зборах - 1436 шт. Кількість голосуючих акцій, що проголосували «за» та «проти» прийняття рішення: «за» - 1436 шт., «проти» - 0 шт.</w:t>
            </w:r>
          </w:p>
        </w:tc>
      </w:tr>
      <w:tr w:rsidR="000C7DFA" w:rsidRPr="00F9402C" w:rsidTr="00E008CE">
        <w:trPr>
          <w:trHeight w:val="34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2</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29.04.2021</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480000.000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53749.000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jc w:val="center"/>
              <w:rPr>
                <w:sz w:val="20"/>
                <w:szCs w:val="20"/>
              </w:rPr>
            </w:pPr>
            <w:r>
              <w:rPr>
                <w:sz w:val="20"/>
                <w:szCs w:val="20"/>
              </w:rPr>
              <w:t>893.03987000000</w:t>
            </w:r>
          </w:p>
        </w:tc>
      </w:tr>
      <w:tr w:rsidR="000C7DFA" w:rsidRPr="00F9402C" w:rsidTr="00E008C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C7DFA" w:rsidRPr="00F9402C" w:rsidRDefault="000C7DFA" w:rsidP="00E008CE">
            <w:pPr>
              <w:pStyle w:val="a4"/>
              <w:spacing w:before="0" w:beforeAutospacing="0" w:after="0" w:afterAutospacing="0"/>
              <w:rPr>
                <w:b/>
                <w:sz w:val="20"/>
                <w:szCs w:val="20"/>
              </w:rPr>
            </w:pPr>
            <w:r>
              <w:rPr>
                <w:b/>
                <w:sz w:val="20"/>
                <w:szCs w:val="20"/>
              </w:rPr>
              <w:t>Зміст інформації</w:t>
            </w:r>
          </w:p>
        </w:tc>
      </w:tr>
      <w:tr w:rsidR="000C7DFA" w:rsidRPr="00F9402C" w:rsidTr="00E008C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0C7DFA" w:rsidRDefault="000C7DFA" w:rsidP="00E008CE">
            <w:pPr>
              <w:pStyle w:val="a4"/>
              <w:spacing w:before="0" w:beforeAutospacing="0" w:after="0" w:afterAutospacing="0"/>
              <w:rPr>
                <w:sz w:val="20"/>
                <w:szCs w:val="20"/>
              </w:rPr>
            </w:pPr>
            <w:r>
              <w:rPr>
                <w:sz w:val="20"/>
                <w:szCs w:val="20"/>
              </w:rPr>
              <w:t>Дата прийняття загальними зборами приватного акціонерного товариства рішення про попереднє надання згоди на вчинення значних правочинів - 29.04.2021 р. Відомості щодо правочинів із зазначенням, зокрема, їх характеру та їх гранична сукупність вартості правочинів: Попередньо надати згоду на вчинення значних правочинів, які можуть вчинятися акціонерним товариством протягом одного року з дати прийняття такого рішення, якщо ринкова вартість майна, робіт або послуг, що є предметом таких правочинів, становить 50 і більше відсотків вартості активів за даними фінансовій звітності за 2020 рік, з граничною сукупною вартістю кожного такого правочину в розмірі 120000 тис. грн.,  а саме:</w:t>
            </w:r>
          </w:p>
          <w:p w:rsidR="000C7DFA" w:rsidRDefault="000C7DFA" w:rsidP="00E008CE">
            <w:pPr>
              <w:pStyle w:val="a4"/>
              <w:spacing w:before="0" w:beforeAutospacing="0" w:after="0" w:afterAutospacing="0"/>
              <w:rPr>
                <w:sz w:val="20"/>
                <w:szCs w:val="20"/>
              </w:rPr>
            </w:pPr>
            <w:r>
              <w:rPr>
                <w:sz w:val="20"/>
                <w:szCs w:val="20"/>
              </w:rPr>
              <w:t>укладання договорів (контрактів) на придбання металевого дроту, цементу, послуг перевезення продукції з метою забезпечення виробничого процесу акціонерного товариства;</w:t>
            </w:r>
          </w:p>
          <w:p w:rsidR="000C7DFA" w:rsidRDefault="000C7DFA" w:rsidP="00E008CE">
            <w:pPr>
              <w:pStyle w:val="a4"/>
              <w:spacing w:before="0" w:beforeAutospacing="0" w:after="0" w:afterAutospacing="0"/>
              <w:rPr>
                <w:sz w:val="20"/>
                <w:szCs w:val="20"/>
              </w:rPr>
            </w:pPr>
            <w:r>
              <w:rPr>
                <w:sz w:val="20"/>
                <w:szCs w:val="20"/>
              </w:rPr>
              <w:t>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для потреб АТ «УКРЗАЛІЗНИЦЯ», в тому числі філій АТ «УКРЗАЛІЗНИЦЯ», промислових підприємств та інших споживачів, в тому числі за результатами тендерів;</w:t>
            </w:r>
          </w:p>
          <w:p w:rsidR="000C7DFA" w:rsidRDefault="000C7DFA" w:rsidP="00E008CE">
            <w:pPr>
              <w:pStyle w:val="a4"/>
              <w:spacing w:before="0" w:beforeAutospacing="0" w:after="0" w:afterAutospacing="0"/>
              <w:rPr>
                <w:sz w:val="20"/>
                <w:szCs w:val="20"/>
              </w:rPr>
            </w:pPr>
            <w:r>
              <w:rPr>
                <w:sz w:val="20"/>
                <w:szCs w:val="20"/>
              </w:rPr>
              <w:t>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в адресу закордонних споживачів;</w:t>
            </w:r>
          </w:p>
          <w:p w:rsidR="000C7DFA" w:rsidRPr="00F9402C" w:rsidRDefault="000C7DFA" w:rsidP="00E008CE">
            <w:pPr>
              <w:pStyle w:val="a4"/>
              <w:spacing w:before="0" w:beforeAutospacing="0" w:after="0" w:afterAutospacing="0"/>
              <w:rPr>
                <w:sz w:val="20"/>
                <w:szCs w:val="20"/>
              </w:rPr>
            </w:pPr>
            <w:r>
              <w:rPr>
                <w:sz w:val="20"/>
                <w:szCs w:val="20"/>
              </w:rPr>
              <w:t xml:space="preserve">укладання договорів (контрактів) щодо отримання та надання позик, позичок, кредитів, факторингових та інших фінансових послуг, незалежно від вартості таких договорів (контрактів). Надати Голові Правління акціонерного </w:t>
            </w:r>
            <w:r>
              <w:rPr>
                <w:sz w:val="20"/>
                <w:szCs w:val="20"/>
              </w:rPr>
              <w:lastRenderedPageBreak/>
              <w:t>товариства повноваження вчиняти такі правочини за умови погодження їх істотних умов з Наглядовою радою, а також отримання від Наглядової ради окремого уповноваження Голови Правління акціонерного товариства на підписання ним таких правочинів у випадку нестачі обсягу повноважень, належних особисто Голові Правління акціонерного товариства згідно з Статутом акціонерного товариства. Гранична сукупність вартості правочинів - 480 000 тис. грн. Вартість активів емітента за даними останньої річної фінансової звітності - 53 749 тис. грн. Співвідношення граничної сукупності вартості правочинів до вартості активів емітента за даними останньої річної фінансової звітності - 893,03987%. Загальна кількість голосуючих акцій - 2 690 шт. Кількість голосуючих акцій, що зареєстровані для участі у загальних зборах - 1436 шт. Кількість голосуючих акцій, що проголосували «за» та «проти» прийняття рішення: «за» - 1436 шт., «проти» - 0 шт.</w:t>
            </w:r>
          </w:p>
        </w:tc>
      </w:tr>
    </w:tbl>
    <w:p w:rsidR="000C7DFA" w:rsidRPr="004A7B09" w:rsidRDefault="000C7DFA" w:rsidP="000C7DFA"/>
    <w:p w:rsidR="003C4C1A" w:rsidRPr="004A7B09" w:rsidRDefault="003C4C1A" w:rsidP="00C86AFD"/>
    <w:sectPr w:rsidR="003C4C1A" w:rsidRPr="004A7B09" w:rsidSect="000C7DF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ED"/>
    <w:rsid w:val="00020BCB"/>
    <w:rsid w:val="000C7DFA"/>
    <w:rsid w:val="001714DF"/>
    <w:rsid w:val="002D6506"/>
    <w:rsid w:val="003275D1"/>
    <w:rsid w:val="00375E69"/>
    <w:rsid w:val="003C4C1A"/>
    <w:rsid w:val="004263EB"/>
    <w:rsid w:val="0044001B"/>
    <w:rsid w:val="004A7B09"/>
    <w:rsid w:val="004E61FF"/>
    <w:rsid w:val="00531337"/>
    <w:rsid w:val="006C6B5C"/>
    <w:rsid w:val="007E37D1"/>
    <w:rsid w:val="007F5510"/>
    <w:rsid w:val="00902454"/>
    <w:rsid w:val="009A60E3"/>
    <w:rsid w:val="009F2C05"/>
    <w:rsid w:val="00A372E3"/>
    <w:rsid w:val="00AD68ED"/>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F0CD9-A4D5-46FE-BD76-43344106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2526-B35A-47AC-80E0-55D98A57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3</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Виталий .</dc:creator>
  <cp:keywords/>
  <dc:description/>
  <cp:lastModifiedBy>Виталий .</cp:lastModifiedBy>
  <cp:revision>2</cp:revision>
  <cp:lastPrinted>2013-07-11T12:29:00Z</cp:lastPrinted>
  <dcterms:created xsi:type="dcterms:W3CDTF">2021-04-30T09:13:00Z</dcterms:created>
  <dcterms:modified xsi:type="dcterms:W3CDTF">2021-04-30T09:13:00Z</dcterms:modified>
</cp:coreProperties>
</file>